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94C" w:rsidRDefault="00332539">
      <w:pPr>
        <w:autoSpaceDE w:val="0"/>
        <w:autoSpaceDN w:val="0"/>
        <w:adjustRightInd w:val="0"/>
        <w:spacing w:before="12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Приложение 1.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bookmarkStart w:id="0" w:name="ТекстовоеПоле15"/>
      <w:r>
        <w:rPr>
          <w:rFonts w:ascii="Times New Roman" w:hAnsi="Times New Roman" w:cs="Times New Roman"/>
          <w:b/>
          <w:sz w:val="24"/>
          <w:szCs w:val="24"/>
          <w:u w:val="single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  <w:u w:val="single"/>
        </w:rPr>
      </w:r>
      <w:r>
        <w:rPr>
          <w:rFonts w:ascii="Times New Roman" w:hAnsi="Times New Roman" w:cs="Times New Roman"/>
          <w:b/>
          <w:sz w:val="24"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52F3A" w:rsidRDefault="00332539">
      <w:pPr>
        <w:autoSpaceDE w:val="0"/>
        <w:autoSpaceDN w:val="0"/>
        <w:adjustRightInd w:val="0"/>
        <w:spacing w:before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Требования к предмету закупки / характеристики предмета сбыта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 </w:t>
      </w:r>
      <w:r>
        <w:fldChar w:fldCharType="end"/>
      </w:r>
      <w:bookmarkEnd w:id="0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5386"/>
      </w:tblGrid>
      <w:tr w:rsidR="00473640" w:rsidTr="00B8268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473640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bookmarkStart w:id="1" w:name="ТекстовоеПоле4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требования к товару / Требования к услуге или работе</w:t>
            </w:r>
            <w:r>
              <w:fldChar w:fldCharType="end"/>
            </w:r>
            <w:bookmarkEnd w:id="1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D36" w:rsidRPr="007E7D36" w:rsidRDefault="007E7D36" w:rsidP="007E7D36">
            <w:pPr>
              <w:spacing w:before="120"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E7D36">
              <w:rPr>
                <w:rFonts w:ascii="Times New Roman" w:hAnsi="Times New Roman" w:cs="Times New Roman"/>
                <w:sz w:val="24"/>
                <w:szCs w:val="24"/>
              </w:rPr>
              <w:t xml:space="preserve">Запасная часть и комплектующие к АТТ-2 : </w:t>
            </w:r>
          </w:p>
          <w:p w:rsidR="00473640" w:rsidRDefault="007E7D36" w:rsidP="007E7D36">
            <w:pPr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D36">
              <w:rPr>
                <w:rFonts w:ascii="Times New Roman" w:hAnsi="Times New Roman" w:cs="Times New Roman"/>
                <w:sz w:val="24"/>
                <w:szCs w:val="24"/>
              </w:rPr>
              <w:t>1. Авиашина 660х160 (Модель 36А);</w:t>
            </w:r>
          </w:p>
        </w:tc>
      </w:tr>
      <w:tr w:rsidR="00473640" w:rsidTr="00B8268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473640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требования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1D6EAC" w:rsidP="0093264D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EAC">
              <w:rPr>
                <w:rFonts w:ascii="Times New Roman" w:hAnsi="Times New Roman" w:cs="Times New Roman"/>
                <w:sz w:val="24"/>
                <w:szCs w:val="24"/>
              </w:rPr>
              <w:t>Пригодность к замене нефункциональных элементов оборудования. Гарантия на поставляемый Товар должна соответствовать сроку (ресурсу), подтвержденному документами завода-изготовителя. При отсутствии гарантийных документов на Товар завода-изготовителя, гарантии предоставляются Поставщиком  на срок не менее 12 месяцев.</w:t>
            </w:r>
          </w:p>
        </w:tc>
      </w:tr>
      <w:tr w:rsidR="00473640" w:rsidTr="00B8268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473640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Эксплуатационные требования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AC" w:rsidRPr="001D6EAC" w:rsidRDefault="001D6EAC" w:rsidP="001D6EAC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Температурный режим </w:t>
            </w:r>
            <w:r w:rsidR="004B194C" w:rsidRPr="001D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 w:rsidRPr="001D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473640" w:rsidRDefault="001D6EAC" w:rsidP="001D6EAC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-40 до +37 градусов Цельсия      </w:t>
            </w:r>
          </w:p>
        </w:tc>
      </w:tr>
      <w:tr w:rsidR="00042314" w:rsidTr="00B8268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14" w:rsidRDefault="00042314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внешнему виду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14" w:rsidRDefault="004B194C" w:rsidP="00473640">
            <w:pPr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 должен</w:t>
            </w:r>
            <w:r w:rsidR="001D6EAC" w:rsidRPr="001D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быть новым, не бывшим в употреблении, не восстановленный, не содержащий восстановленных элементов. Товар не должен иметь дефектов, связанных с конструкцией, материалами или работой по их изготовлению, или проявляющиеся в результате действия или упущения производителя и/или упущения поставщика, при соблюдении Покупателем правил эксплуатации поставляемого товара.</w:t>
            </w:r>
          </w:p>
        </w:tc>
      </w:tr>
      <w:tr w:rsidR="00473640" w:rsidTr="00B8268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473640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персоналу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DD2AD9" w:rsidP="00473640">
            <w:pPr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042314" w:rsidRPr="0004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требуется</w:t>
            </w:r>
          </w:p>
        </w:tc>
      </w:tr>
      <w:tr w:rsidR="00473640" w:rsidTr="00B8268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40" w:rsidRDefault="00473640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финансовому взаимодействию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40" w:rsidRDefault="001D6EAC" w:rsidP="00164009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Цена поставляемого товара в рамках договора фиксируется на весь срок действия договора и не может быть изменена.</w:t>
            </w:r>
          </w:p>
        </w:tc>
      </w:tr>
      <w:tr w:rsidR="00473640" w:rsidTr="00B8268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473640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bookmarkStart w:id="2" w:name="ТекстовоеПоле4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</w:t>
            </w:r>
            <w:r w:rsidR="0004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аковке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fldChar w:fldCharType="end"/>
            </w:r>
            <w:bookmarkEnd w:id="2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AC" w:rsidRPr="001D6EAC" w:rsidRDefault="001D6EAC" w:rsidP="001D6EAC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Товар должен иметь надлежащую упаковку, позволяющую сохранить все его качества во время </w:t>
            </w:r>
          </w:p>
          <w:p w:rsidR="001D6EAC" w:rsidRPr="001D6EAC" w:rsidRDefault="001D6EAC" w:rsidP="001D6EAC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транспортировки и хранения. За повреждение Товара во время поставки, которые могут являться следствием ненадлежащей упаковки, ответственность несет Поставщик. </w:t>
            </w:r>
            <w:r w:rsidR="004B194C" w:rsidRPr="001D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Упаковка Товар</w:t>
            </w:r>
            <w:r w:rsidRPr="001D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должна быть выполнена таким </w:t>
            </w:r>
            <w:r w:rsidR="004B194C" w:rsidRPr="001D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образом, чтобы</w:t>
            </w:r>
            <w:r w:rsidRPr="001D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приеме Товара можно было убедиться, что Товар является новым (ранее не находящимся в использовании </w:t>
            </w:r>
            <w:r w:rsidR="004B194C" w:rsidRPr="001D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Поставщика</w:t>
            </w:r>
            <w:r w:rsidRPr="001D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(или) у третьих лиц). Упаковка не должна содержать вскрытий, вмятин, порезов, деформации. </w:t>
            </w:r>
          </w:p>
          <w:p w:rsidR="00473640" w:rsidRDefault="001D6EAC" w:rsidP="001D6EAC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Этикетка и наклейки должны быть четкими, чистыми и хорошо читаемыми.</w:t>
            </w:r>
          </w:p>
        </w:tc>
      </w:tr>
      <w:tr w:rsidR="00042314" w:rsidTr="00B8268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14" w:rsidRPr="00042314" w:rsidRDefault="00042314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требования ко всем элементам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14" w:rsidRPr="00042314" w:rsidRDefault="007E7D36" w:rsidP="00042314">
            <w:pPr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Покупатель  определяет конкретной заявкой при закупке номенклатуру и объём поставки</w:t>
            </w:r>
          </w:p>
        </w:tc>
      </w:tr>
      <w:tr w:rsidR="00042314" w:rsidTr="00B8268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14" w:rsidRDefault="00042314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Требования по поставке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14" w:rsidRDefault="001D6EAC" w:rsidP="000C0F58">
            <w:pPr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Товар должен быть поставлен в течение 20 рабочих дней с момента подачи Покупателем Заявки. Покупатель при приеме Товара проверяет соответствие поставленного Товара заявке Покупателя, в которой указано его количество и наименование.</w:t>
            </w:r>
          </w:p>
        </w:tc>
      </w:tr>
      <w:tr w:rsidR="00473640" w:rsidTr="00B8268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473640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EAC" w:rsidRPr="001D6EAC" w:rsidRDefault="001D6EAC" w:rsidP="001D6EAC">
            <w:pPr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Поставщик при поставке партии Товара обязан передавать Покупателю надлежащим образом заверенные сертификаты о соответствии, на который </w:t>
            </w:r>
            <w:r w:rsidR="00B82680" w:rsidRPr="001D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 обязательная</w:t>
            </w:r>
            <w:r w:rsidRPr="001D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сертификация. Поставщик предоставляет Покупателю гарантии производителя товара, оформленные соответствующими гарантийными талонам (сертификатами) или проставлением соответствующей записи на маркировочном ярлыке поставленного Товара.</w:t>
            </w:r>
          </w:p>
          <w:p w:rsidR="00473640" w:rsidRDefault="001D6EAC" w:rsidP="001D6EAC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Поставщик вместе с товаром предоставляет Стейтмент, Товарную накладную/Универсальный передаточный документ (УПД), счет и счет-фактуру.</w:t>
            </w:r>
          </w:p>
        </w:tc>
      </w:tr>
      <w:tr w:rsidR="00473640" w:rsidTr="00B8268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473640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стране-производителю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042314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4060ED" w:rsidTr="00B82680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D" w:rsidRDefault="004060ED" w:rsidP="004060ED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Спецификация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закупаемых</w:t>
            </w:r>
            <w:r w:rsidR="00902E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товаров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объема</w: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закупки, входящих в предмет закупки </w:t>
            </w:r>
            <w: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Лота/Корзины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fldChar w:fldCharType="end"/>
            </w:r>
          </w:p>
          <w:p w:rsidR="004060ED" w:rsidRDefault="004060ED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21C" w:rsidRDefault="001D6EAC" w:rsidP="001D6EAC">
            <w:pPr>
              <w:pStyle w:val="a7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E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Авиашина 660х160 (Модель 36А)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53521C" w:rsidRPr="005352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</w:t>
            </w:r>
            <w:r w:rsidR="00E82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очный объем поставки: </w:t>
            </w:r>
            <w:r w:rsidR="00903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шт</w:t>
            </w:r>
          </w:p>
          <w:p w:rsidR="00467770" w:rsidRDefault="00467770" w:rsidP="00B82680">
            <w:pPr>
              <w:pStyle w:val="a7"/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2680" w:rsidRDefault="00467770" w:rsidP="00467770">
            <w:pPr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Pr="00467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2680" w:rsidRPr="004677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 вправе не приобретать товар по верхней границе объема</w:t>
            </w:r>
          </w:p>
          <w:p w:rsidR="0053521C" w:rsidRPr="0053521C" w:rsidRDefault="0053521C" w:rsidP="009034B8">
            <w:pPr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640" w:rsidTr="00B82680">
        <w:tc>
          <w:tcPr>
            <w:tcW w:w="3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40" w:rsidRDefault="004060ED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значимости сервиса </w:t>
            </w:r>
          </w:p>
          <w:p w:rsidR="00473640" w:rsidRDefault="00473640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473640" w:rsidP="00473640">
            <w:pPr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640" w:rsidTr="00B82680">
        <w:tc>
          <w:tcPr>
            <w:tcW w:w="3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40" w:rsidRDefault="00473640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1D6EAC" w:rsidP="005A3B5B">
            <w:pPr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Некритичный прерывный</w:t>
            </w:r>
          </w:p>
        </w:tc>
      </w:tr>
    </w:tbl>
    <w:p w:rsidR="00902E8A" w:rsidRPr="009915A9" w:rsidRDefault="00332539" w:rsidP="00164009">
      <w:pPr>
        <w:autoSpaceDE w:val="0"/>
        <w:autoSpaceDN w:val="0"/>
        <w:adjustRightInd w:val="0"/>
        <w:spacing w:before="120" w:after="0" w:line="240" w:lineRule="atLeast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915A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452F3A" w:rsidRPr="001A2247" w:rsidRDefault="00452F3A" w:rsidP="001A2247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452F3A" w:rsidRPr="001A2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247" w:rsidRDefault="001A2247" w:rsidP="001A2247">
      <w:pPr>
        <w:spacing w:after="0" w:line="240" w:lineRule="auto"/>
      </w:pPr>
      <w:r>
        <w:separator/>
      </w:r>
    </w:p>
  </w:endnote>
  <w:endnote w:type="continuationSeparator" w:id="0">
    <w:p w:rsidR="001A2247" w:rsidRDefault="001A2247" w:rsidP="001A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247" w:rsidRDefault="001A2247" w:rsidP="001A2247">
      <w:pPr>
        <w:spacing w:after="0" w:line="240" w:lineRule="auto"/>
      </w:pPr>
      <w:r>
        <w:separator/>
      </w:r>
    </w:p>
  </w:footnote>
  <w:footnote w:type="continuationSeparator" w:id="0">
    <w:p w:rsidR="001A2247" w:rsidRDefault="001A2247" w:rsidP="001A2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6074C"/>
    <w:multiLevelType w:val="hybridMultilevel"/>
    <w:tmpl w:val="85C68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1520C4"/>
    <w:multiLevelType w:val="hybridMultilevel"/>
    <w:tmpl w:val="334E87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6D62FE"/>
    <w:multiLevelType w:val="hybridMultilevel"/>
    <w:tmpl w:val="20BAFF2C"/>
    <w:lvl w:ilvl="0" w:tplc="B86EFD6E">
      <w:start w:val="14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39"/>
    <w:rsid w:val="00042314"/>
    <w:rsid w:val="00063C35"/>
    <w:rsid w:val="00083287"/>
    <w:rsid w:val="00083A84"/>
    <w:rsid w:val="000C0F58"/>
    <w:rsid w:val="000E6A53"/>
    <w:rsid w:val="00164009"/>
    <w:rsid w:val="0017372C"/>
    <w:rsid w:val="001A2247"/>
    <w:rsid w:val="001D6EAC"/>
    <w:rsid w:val="001F6797"/>
    <w:rsid w:val="00204B6C"/>
    <w:rsid w:val="00276F94"/>
    <w:rsid w:val="002D5F8B"/>
    <w:rsid w:val="003005A6"/>
    <w:rsid w:val="00332539"/>
    <w:rsid w:val="00352119"/>
    <w:rsid w:val="003B60D8"/>
    <w:rsid w:val="003D2F8E"/>
    <w:rsid w:val="003F5B1E"/>
    <w:rsid w:val="004060ED"/>
    <w:rsid w:val="00452F3A"/>
    <w:rsid w:val="00467770"/>
    <w:rsid w:val="00473640"/>
    <w:rsid w:val="004A58C9"/>
    <w:rsid w:val="004B194C"/>
    <w:rsid w:val="005259F1"/>
    <w:rsid w:val="0053521C"/>
    <w:rsid w:val="005A3B5B"/>
    <w:rsid w:val="00625510"/>
    <w:rsid w:val="00721AF2"/>
    <w:rsid w:val="007346A6"/>
    <w:rsid w:val="007E7D36"/>
    <w:rsid w:val="0082541E"/>
    <w:rsid w:val="008356B9"/>
    <w:rsid w:val="00902E8A"/>
    <w:rsid w:val="009034B8"/>
    <w:rsid w:val="0093264D"/>
    <w:rsid w:val="00932DF8"/>
    <w:rsid w:val="00941BFA"/>
    <w:rsid w:val="009915A9"/>
    <w:rsid w:val="009D1830"/>
    <w:rsid w:val="009E427D"/>
    <w:rsid w:val="00A13E6E"/>
    <w:rsid w:val="00A20EC2"/>
    <w:rsid w:val="00B4449D"/>
    <w:rsid w:val="00B82680"/>
    <w:rsid w:val="00B83B6D"/>
    <w:rsid w:val="00BF36C5"/>
    <w:rsid w:val="00C44004"/>
    <w:rsid w:val="00C60E3D"/>
    <w:rsid w:val="00C7364B"/>
    <w:rsid w:val="00D0171B"/>
    <w:rsid w:val="00D4000A"/>
    <w:rsid w:val="00D93288"/>
    <w:rsid w:val="00D97180"/>
    <w:rsid w:val="00DA5AFD"/>
    <w:rsid w:val="00DB7BD0"/>
    <w:rsid w:val="00DD1ED1"/>
    <w:rsid w:val="00DD2AD9"/>
    <w:rsid w:val="00E42212"/>
    <w:rsid w:val="00E53B58"/>
    <w:rsid w:val="00E57355"/>
    <w:rsid w:val="00E82FDE"/>
    <w:rsid w:val="00EB6F9D"/>
    <w:rsid w:val="00F0242C"/>
    <w:rsid w:val="00F9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0B52FEE"/>
  <w15:chartTrackingRefBased/>
  <w15:docId w15:val="{58ECA300-CD45-4207-8503-68F7E448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Subtitle"/>
    <w:basedOn w:val="a"/>
    <w:link w:val="a6"/>
    <w:qFormat/>
    <w:pPr>
      <w:spacing w:before="60" w:after="120" w:line="240" w:lineRule="auto"/>
      <w:ind w:firstLine="708"/>
      <w:jc w:val="center"/>
    </w:pPr>
    <w:rPr>
      <w:rFonts w:ascii="Times New Roman" w:eastAsia="Times New Roman" w:hAnsi="Times New Roman" w:cs="Times New Roman"/>
      <w:smallCap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locked/>
    <w:rPr>
      <w:rFonts w:ascii="Times New Roman" w:eastAsia="Times New Roman" w:hAnsi="Times New Roman" w:cs="Times New Roman" w:hint="default"/>
      <w:smallCap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styleId="a8">
    <w:name w:val="Table Grid"/>
    <w:basedOn w:val="a1"/>
    <w:uiPriority w:val="5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Pr>
      <w:i/>
      <w:iCs/>
    </w:rPr>
  </w:style>
  <w:style w:type="paragraph" w:styleId="aa">
    <w:name w:val="header"/>
    <w:basedOn w:val="a"/>
    <w:link w:val="ab"/>
    <w:uiPriority w:val="99"/>
    <w:unhideWhenUsed/>
    <w:rsid w:val="001A2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2247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1A2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2247"/>
    <w:rPr>
      <w:sz w:val="22"/>
      <w:szCs w:val="22"/>
    </w:rPr>
  </w:style>
  <w:style w:type="character" w:customStyle="1" w:styleId="-">
    <w:name w:val="Интернет-ссылка"/>
    <w:basedOn w:val="a0"/>
    <w:unhideWhenUsed/>
    <w:rsid w:val="00473640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B6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B6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DME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arubtsova</dc:creator>
  <cp:keywords/>
  <dc:description/>
  <cp:lastModifiedBy>Казанкова Екатерина Александровна</cp:lastModifiedBy>
  <cp:revision>2</cp:revision>
  <cp:lastPrinted>2023-07-26T11:12:00Z</cp:lastPrinted>
  <dcterms:created xsi:type="dcterms:W3CDTF">2025-03-21T11:55:00Z</dcterms:created>
  <dcterms:modified xsi:type="dcterms:W3CDTF">2025-03-21T11:55:00Z</dcterms:modified>
</cp:coreProperties>
</file>